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jc w:val="center"/>
        <w:rPr>
          <w:rFonts w:ascii="Playfair Display" w:cs="Playfair Display" w:eastAsia="Playfair Display" w:hAnsi="Playfair Display"/>
          <w:b w:val="1"/>
          <w:sz w:val="100"/>
          <w:szCs w:val="100"/>
        </w:rPr>
      </w:pPr>
      <w:bookmarkStart w:colFirst="0" w:colLast="0" w:name="_s22kzbcznmas" w:id="0"/>
      <w:bookmarkEnd w:id="0"/>
      <w:r w:rsidDel="00000000" w:rsidR="00000000" w:rsidRPr="00000000">
        <w:rPr>
          <w:rFonts w:ascii="Playfair Display" w:cs="Playfair Display" w:eastAsia="Playfair Display" w:hAnsi="Playfair Display"/>
          <w:b w:val="1"/>
          <w:sz w:val="100"/>
          <w:szCs w:val="100"/>
          <w:rtl w:val="0"/>
        </w:rPr>
        <w:t xml:space="preserve">Conclusiones del Sprint 2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Megías Mata, </w:t>
      </w:r>
    </w:p>
    <w:p w:rsidR="00000000" w:rsidDel="00000000" w:rsidP="00000000" w:rsidRDefault="00000000" w:rsidRPr="00000000" w14:paraId="0000001F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Garau Madrigal, </w:t>
      </w:r>
    </w:p>
    <w:p w:rsidR="00000000" w:rsidDel="00000000" w:rsidP="00000000" w:rsidRDefault="00000000" w:rsidRPr="00000000" w14:paraId="00000020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Jesús Parejo Aliaga, </w:t>
      </w:r>
    </w:p>
    <w:p w:rsidR="00000000" w:rsidDel="00000000" w:rsidP="00000000" w:rsidRDefault="00000000" w:rsidRPr="00000000" w14:paraId="00000021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Raúl Morales Perujo,</w:t>
      </w:r>
    </w:p>
    <w:p w:rsidR="00000000" w:rsidDel="00000000" w:rsidP="00000000" w:rsidRDefault="00000000" w:rsidRPr="00000000" w14:paraId="00000022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Pedro Gallego Vela,  </w:t>
      </w:r>
    </w:p>
    <w:p w:rsidR="00000000" w:rsidDel="00000000" w:rsidP="00000000" w:rsidRDefault="00000000" w:rsidRPr="00000000" w14:paraId="00000023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Manuel Veredas Galdeano.</w:t>
      </w:r>
    </w:p>
    <w:p w:rsidR="00000000" w:rsidDel="00000000" w:rsidP="00000000" w:rsidRDefault="00000000" w:rsidRPr="00000000" w14:paraId="00000024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36"/>
          <w:szCs w:val="36"/>
          <w:rtl w:val="0"/>
        </w:rPr>
        <w:t xml:space="preserve">v1.0</w:t>
      </w:r>
    </w:p>
    <w:p w:rsidR="00000000" w:rsidDel="00000000" w:rsidP="00000000" w:rsidRDefault="00000000" w:rsidRPr="00000000" w14:paraId="00000025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r8q7xcvxk34a" w:id="1"/>
      <w:bookmarkEnd w:id="1"/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6">
          <w:pPr>
            <w:tabs>
              <w:tab w:val="right" w:pos="9025.511811023624"/>
            </w:tabs>
            <w:spacing w:after="80" w:before="80" w:line="240" w:lineRule="auto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o16vnodozgt3">
            <w:r w:rsidDel="00000000" w:rsidR="00000000" w:rsidRPr="00000000">
              <w:rPr>
                <w:b w:val="1"/>
                <w:rtl w:val="0"/>
              </w:rPr>
              <w:t xml:space="preserve">Conclusiones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_o16vnodozgt3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7">
      <w:pPr>
        <w:contextualSpacing w:val="0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55e6uxkib50t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o16vnodozgt3" w:id="3"/>
      <w:bookmarkEnd w:id="3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Conclusiones</w:t>
      </w:r>
    </w:p>
    <w:p w:rsidR="00000000" w:rsidDel="00000000" w:rsidP="00000000" w:rsidRDefault="00000000" w:rsidRPr="00000000" w14:paraId="0000002A">
      <w:pPr>
        <w:ind w:firstLine="720"/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Durante la implementación nos dimos cuenta de que necesitábamos implementar un registro, un login y la configuración de usuario, haciendo que dejáramos de seguir la planificación realizada. Además, hemos tenido varios problemas con dependencias de gradle, retrasando también la implementación y haciendo que no nos pudiéramos ajustar correctamente a la planificación. </w:t>
      </w:r>
    </w:p>
    <w:p w:rsidR="00000000" w:rsidDel="00000000" w:rsidP="00000000" w:rsidRDefault="00000000" w:rsidRPr="00000000" w14:paraId="0000002B">
      <w:pPr>
        <w:ind w:firstLine="720"/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ab/>
      </w:r>
    </w:p>
    <w:p w:rsidR="00000000" w:rsidDel="00000000" w:rsidP="00000000" w:rsidRDefault="00000000" w:rsidRPr="00000000" w14:paraId="0000002C">
      <w:pPr>
        <w:ind w:firstLine="720"/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Finalmente, debido a la falta de tiempo, hemos decidido no implementar el chat en la aplicación.</w:t>
      </w:r>
    </w:p>
    <w:p w:rsidR="00000000" w:rsidDel="00000000" w:rsidP="00000000" w:rsidRDefault="00000000" w:rsidRPr="00000000" w14:paraId="0000002D">
      <w:pPr>
        <w:ind w:firstLine="720"/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